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AC433">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513658</w:t>
      </w:r>
      <w:bookmarkStart w:id="8" w:name="_GoBack"/>
      <w:bookmarkEnd w:id="8"/>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Prague, Czech Republic, Oct. 13-17</w:t>
      </w:r>
      <w:r>
        <w:rPr>
          <w:rFonts w:hint="default" w:ascii="Times New Roman" w:hAnsi="Times New Roman" w:cs="Times New Roman"/>
          <w:b/>
          <w:bCs/>
          <w:sz w:val="24"/>
          <w:highlight w:val="none"/>
        </w:rPr>
        <w:t>, 2025</w:t>
      </w:r>
    </w:p>
    <w:p w14:paraId="25DD33A5">
      <w:pPr>
        <w:tabs>
          <w:tab w:val="left" w:pos="1985"/>
        </w:tabs>
        <w:rPr>
          <w:rFonts w:ascii="Times New Roman" w:hAnsi="Times New Roman"/>
          <w:b/>
          <w:sz w:val="22"/>
          <w:highlight w:val="none"/>
        </w:rPr>
      </w:pPr>
    </w:p>
    <w:p w14:paraId="4D850D59">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12.2</w:t>
      </w:r>
    </w:p>
    <w:p w14:paraId="34FDAAB4">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2CC4585F">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bookmarkEnd w:id="2"/>
      <w:bookmarkEnd w:id="3"/>
      <w:r>
        <w:rPr>
          <w:rFonts w:ascii="Times New Roman" w:hAnsi="Times New Roman"/>
          <w:sz w:val="22"/>
          <w:highlight w:val="none"/>
        </w:rPr>
        <w:t>D</w:t>
      </w:r>
      <w:r>
        <w:rPr>
          <w:rFonts w:hint="eastAsia" w:ascii="Times New Roman" w:hAnsi="Times New Roman"/>
          <w:sz w:val="22"/>
          <w:highlight w:val="none"/>
        </w:rPr>
        <w:t xml:space="preserve">iscussion on </w:t>
      </w:r>
      <w:r>
        <w:rPr>
          <w:rFonts w:hint="eastAsia" w:ascii="Times New Roman" w:hAnsi="Times New Roman"/>
          <w:sz w:val="22"/>
          <w:highlight w:val="none"/>
          <w:lang w:val="en-US" w:eastAsia="zh-CN"/>
        </w:rPr>
        <w:t>general aspects for AI/ML for mobility</w:t>
      </w:r>
    </w:p>
    <w:bookmarkEnd w:id="4"/>
    <w:bookmarkEnd w:id="5"/>
    <w:p w14:paraId="0006DBE2">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15C959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A1774DF">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new W</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w:t>
      </w:r>
      <w:r>
        <w:rPr>
          <w:rFonts w:hint="eastAsia" w:ascii="Times New Roman" w:hAnsi="Times New Roman"/>
          <w:sz w:val="20"/>
          <w:szCs w:val="20"/>
          <w:lang w:val="en-US" w:eastAsia="zh-CN"/>
        </w:rPr>
        <w:t>1</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In RAN #</w:t>
      </w:r>
      <w:r>
        <w:rPr>
          <w:rFonts w:hint="eastAsia" w:ascii="Times New Roman" w:hAnsi="Times New Roman"/>
          <w:sz w:val="20"/>
          <w:szCs w:val="20"/>
          <w:lang w:val="en-US" w:eastAsia="zh-CN"/>
        </w:rPr>
        <w:t>109</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w:t>
      </w:r>
      <w:r>
        <w:rPr>
          <w:rFonts w:hint="eastAsia" w:ascii="Times New Roman" w:hAnsi="Times New Roman"/>
          <w:sz w:val="20"/>
          <w:szCs w:val="20"/>
          <w:lang w:val="en-US" w:eastAsia="zh-CN"/>
        </w:rPr>
        <w:t>2</w:t>
      </w:r>
      <w:r>
        <w:rPr>
          <w:rFonts w:ascii="Times New Roman" w:hAnsi="Times New Roman"/>
          <w:sz w:val="20"/>
          <w:szCs w:val="20"/>
        </w:rPr>
        <w:t>]. The objectives for RAN4 are duplicated as following.</w:t>
      </w:r>
    </w:p>
    <w:tbl>
      <w:tblPr>
        <w:tblStyle w:val="10"/>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03F3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3B720661">
            <w:pPr>
              <w:numPr>
                <w:ilvl w:val="0"/>
                <w:numId w:val="4"/>
              </w:numPr>
              <w:tabs>
                <w:tab w:val="left" w:pos="1440"/>
              </w:tabs>
              <w:overflowPunct/>
              <w:autoSpaceDE/>
              <w:autoSpaceDN/>
              <w:adjustRightInd/>
              <w:spacing w:after="120"/>
              <w:ind w:left="240" w:leftChars="0"/>
              <w:textAlignment w:val="auto"/>
              <w:rPr>
                <w:rFonts w:hint="default" w:ascii="Times New Roman" w:hAnsi="Times New Roman" w:eastAsia="MS Mincho" w:cs="Times New Roman"/>
                <w:bCs/>
                <w:sz w:val="20"/>
                <w:szCs w:val="20"/>
              </w:rPr>
            </w:pPr>
            <w:r>
              <w:rPr>
                <w:rFonts w:hint="default" w:ascii="Times New Roman" w:hAnsi="Times New Roman" w:eastAsia="MS Mincho" w:cs="Times New Roman"/>
                <w:bCs/>
                <w:sz w:val="20"/>
                <w:szCs w:val="20"/>
              </w:rPr>
              <w:t xml:space="preserve">For both RRM measurement prediction and measurement event prediction </w:t>
            </w:r>
            <w:r>
              <w:rPr>
                <w:rFonts w:hint="default" w:ascii="Times New Roman" w:hAnsi="Times New Roman" w:cs="Times New Roman"/>
                <w:bCs/>
                <w:sz w:val="20"/>
                <w:szCs w:val="20"/>
                <w:lang w:eastAsia="zh-CN"/>
              </w:rPr>
              <w:t xml:space="preserve">for UE sided model </w:t>
            </w:r>
            <w:r>
              <w:rPr>
                <w:rFonts w:hint="default" w:ascii="Times New Roman" w:hAnsi="Times New Roman" w:eastAsia="MS Mincho" w:cs="Times New Roman"/>
                <w:bCs/>
                <w:sz w:val="20"/>
                <w:szCs w:val="20"/>
              </w:rPr>
              <w:t>[RAN4]:</w:t>
            </w:r>
          </w:p>
          <w:p w14:paraId="206B9E1E">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 xml:space="preserve">Specify core requirements for the use cases and scenarios supported by the previous objectives </w:t>
            </w:r>
            <w:r>
              <w:rPr>
                <w:rFonts w:hint="default" w:ascii="Times New Roman" w:hAnsi="Times New Roman" w:cs="Times New Roman"/>
                <w:bCs/>
                <w:sz w:val="20"/>
                <w:szCs w:val="20"/>
                <w:lang w:eastAsia="zh-CN"/>
              </w:rPr>
              <w:t>for RRM measurement prediction and indirect measurement event prediction</w:t>
            </w:r>
          </w:p>
          <w:p w14:paraId="623AB6A6">
            <w:pPr>
              <w:numPr>
                <w:ilvl w:val="1"/>
                <w:numId w:val="5"/>
              </w:numPr>
              <w:overflowPunct/>
              <w:autoSpaceDE/>
              <w:autoSpaceDN/>
              <w:adjustRightInd/>
              <w:spacing w:after="120"/>
              <w:ind w:left="168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lang w:eastAsia="zh-CN"/>
              </w:rPr>
              <w:t>Note 6: RAN4 is expected to investigate whether the core requirement for RRM measurement prediction can be reused for indirect measurement event prediction</w:t>
            </w:r>
          </w:p>
          <w:p w14:paraId="63B8CB19">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 xml:space="preserve">For direct event prediction, study feasibility of </w:t>
            </w:r>
            <w:r>
              <w:rPr>
                <w:rFonts w:hint="default" w:ascii="Times New Roman" w:hAnsi="Times New Roman" w:cs="Times New Roman"/>
                <w:bCs/>
                <w:sz w:val="20"/>
                <w:szCs w:val="20"/>
                <w:lang w:eastAsia="zh-CN"/>
              </w:rPr>
              <w:t xml:space="preserve">core </w:t>
            </w:r>
            <w:r>
              <w:rPr>
                <w:rFonts w:hint="default" w:ascii="Times New Roman" w:hAnsi="Times New Roman" w:cs="Times New Roman"/>
                <w:bCs/>
                <w:sz w:val="20"/>
                <w:szCs w:val="20"/>
              </w:rPr>
              <w:t>requirement in Q2 2026.</w:t>
            </w:r>
          </w:p>
          <w:p w14:paraId="357CCC2B">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Specify LCM-related core requirements to support the LCM functionality management , if any</w:t>
            </w:r>
          </w:p>
        </w:tc>
      </w:tr>
    </w:tbl>
    <w:p w14:paraId="6421779D">
      <w:pPr>
        <w:keepNext w:val="0"/>
        <w:keepLines w:val="0"/>
        <w:pageBreakBefore w:val="0"/>
        <w:widowControl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 xml:space="preserve">This </w:t>
      </w:r>
      <w:r>
        <w:rPr>
          <w:rFonts w:hint="eastAsia" w:ascii="Times New Roman" w:hAnsi="Times New Roman"/>
          <w:sz w:val="20"/>
          <w:szCs w:val="20"/>
        </w:rPr>
        <w:t>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discussion on</w:t>
      </w:r>
      <w:r>
        <w:rPr>
          <w:rFonts w:hint="eastAsia" w:ascii="Times New Roman" w:hAnsi="Times New Roman"/>
          <w:sz w:val="20"/>
          <w:szCs w:val="20"/>
          <w:lang w:val="en-US" w:eastAsia="zh-CN"/>
        </w:rPr>
        <w:t xml:space="preserve"> general aspects</w:t>
      </w:r>
      <w:r>
        <w:rPr>
          <w:rFonts w:hint="eastAsia" w:ascii="Times New Roman" w:hAnsi="Times New Roman"/>
          <w:sz w:val="20"/>
          <w:szCs w:val="20"/>
        </w:rPr>
        <w:t>.</w:t>
      </w:r>
    </w:p>
    <w:p w14:paraId="17263EFA">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p w14:paraId="6A33E4F6">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AI/ML for mobility, there are 6 scenarios, scenario 2, 3, 4 are prioritized. Scenario 4 is FR2 intra-frequency temporal domain case A (i.e., prediction of measurements in a prediction window by using historical actual measurements in an observation window). Scenario 2 is FR1 intra-frequency temporal domain case B (similar to case A, but predicted measurement result(s) in previous prediction window are skipped). And scenario 3 is FR1 inter-frequency prediction. The study on temporal domain case A is to verify performance improvement, i.e. how much handover performance can be improved based on predicted measurement results/event in future. The motivation of study on temporal domain case B is about measurement reduction, i.e. whether the degradation of handover performance is acceptable while partial measurement is skipped.  </w:t>
      </w:r>
    </w:p>
    <w:p w14:paraId="4D1E0A3D">
      <w:pPr>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Table 1 </w:t>
      </w:r>
      <w:r>
        <w:rPr>
          <w:rFonts w:hint="eastAsia" w:ascii="Times New Roman" w:hAnsi="Times New Roman" w:cs="Times New Roman"/>
          <w:sz w:val="20"/>
          <w:szCs w:val="20"/>
          <w:lang w:val="en-US" w:eastAsia="zh-CN"/>
        </w:rPr>
        <w:t>E</w:t>
      </w:r>
      <w:r>
        <w:rPr>
          <w:rFonts w:hint="default" w:ascii="Times New Roman" w:hAnsi="Times New Roman" w:cs="Times New Roman"/>
          <w:sz w:val="20"/>
          <w:szCs w:val="20"/>
          <w:lang w:eastAsia="zh-CN"/>
        </w:rPr>
        <w:t>valuation scenarios</w:t>
      </w:r>
      <w:r>
        <w:rPr>
          <w:rFonts w:hint="default" w:ascii="Times New Roman" w:hAnsi="Times New Roman" w:cs="Times New Roman"/>
          <w:sz w:val="20"/>
          <w:szCs w:val="20"/>
          <w:lang w:val="en-US" w:eastAsia="zh-CN"/>
        </w:rPr>
        <w:t xml:space="preserve"> for </w:t>
      </w:r>
      <w:r>
        <w:rPr>
          <w:rFonts w:hint="default" w:ascii="Times New Roman" w:hAnsi="Times New Roman" w:eastAsia="等线" w:cs="Times New Roman"/>
          <w:bCs/>
          <w:iCs/>
          <w:sz w:val="20"/>
          <w:szCs w:val="20"/>
          <w:lang w:val="en-US" w:eastAsia="zh-CN"/>
        </w:rPr>
        <w:t>RRM measurement prediction</w:t>
      </w:r>
      <w:r>
        <w:rPr>
          <w:rFonts w:hint="default" w:ascii="Times New Roman" w:hAnsi="Times New Roman" w:cs="Times New Roman"/>
          <w:sz w:val="20"/>
          <w:szCs w:val="20"/>
          <w:lang w:val="en-US" w:eastAsia="zh-CN"/>
        </w:rPr>
        <w:t xml:space="preserve"> </w:t>
      </w:r>
    </w:p>
    <w:tbl>
      <w:tblPr>
        <w:tblStyle w:val="11"/>
        <w:tblW w:w="8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8"/>
        <w:gridCol w:w="1283"/>
        <w:gridCol w:w="3801"/>
        <w:gridCol w:w="1268"/>
        <w:gridCol w:w="1294"/>
      </w:tblGrid>
      <w:tr w14:paraId="6D940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noWrap w:val="0"/>
            <w:vAlign w:val="top"/>
          </w:tcPr>
          <w:p w14:paraId="18BE560C">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scenario number</w:t>
            </w:r>
          </w:p>
        </w:tc>
        <w:tc>
          <w:tcPr>
            <w:tcW w:w="1283" w:type="dxa"/>
            <w:noWrap w:val="0"/>
            <w:vAlign w:val="top"/>
          </w:tcPr>
          <w:p w14:paraId="353FC129">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 xml:space="preserve">Priority </w:t>
            </w:r>
          </w:p>
        </w:tc>
        <w:tc>
          <w:tcPr>
            <w:tcW w:w="3801" w:type="dxa"/>
            <w:noWrap w:val="0"/>
            <w:vAlign w:val="top"/>
          </w:tcPr>
          <w:p w14:paraId="370B24BC">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Evaluation scenario</w:t>
            </w:r>
          </w:p>
        </w:tc>
        <w:tc>
          <w:tcPr>
            <w:tcW w:w="1268" w:type="dxa"/>
            <w:noWrap w:val="0"/>
            <w:vAlign w:val="top"/>
          </w:tcPr>
          <w:p w14:paraId="6D7D1651">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Target study goal</w:t>
            </w:r>
          </w:p>
        </w:tc>
        <w:tc>
          <w:tcPr>
            <w:tcW w:w="1294" w:type="dxa"/>
            <w:noWrap w:val="0"/>
            <w:vAlign w:val="top"/>
          </w:tcPr>
          <w:p w14:paraId="3EBD5125">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Methodology</w:t>
            </w:r>
          </w:p>
        </w:tc>
      </w:tr>
      <w:tr w14:paraId="23F35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noWrap w:val="0"/>
            <w:vAlign w:val="top"/>
          </w:tcPr>
          <w:p w14:paraId="1DD76A77">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1</w:t>
            </w:r>
          </w:p>
        </w:tc>
        <w:tc>
          <w:tcPr>
            <w:tcW w:w="1283" w:type="dxa"/>
            <w:noWrap w:val="0"/>
            <w:vAlign w:val="top"/>
          </w:tcPr>
          <w:p w14:paraId="64A9303C">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Low</w:t>
            </w:r>
          </w:p>
        </w:tc>
        <w:tc>
          <w:tcPr>
            <w:tcW w:w="3801" w:type="dxa"/>
            <w:noWrap w:val="0"/>
            <w:vAlign w:val="top"/>
          </w:tcPr>
          <w:p w14:paraId="2A6245D2">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FR1 to FR1 intra-frequency temporal domain case A</w:t>
            </w:r>
          </w:p>
        </w:tc>
        <w:tc>
          <w:tcPr>
            <w:tcW w:w="1268" w:type="dxa"/>
            <w:noWrap w:val="0"/>
            <w:vAlign w:val="top"/>
          </w:tcPr>
          <w:p w14:paraId="099A4C40">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2</w:t>
            </w:r>
            <w:r>
              <w:rPr>
                <w:rFonts w:hint="default" w:ascii="Times New Roman" w:hAnsi="Times New Roman" w:cs="Times New Roman"/>
                <w:sz w:val="20"/>
                <w:szCs w:val="20"/>
                <w:vertAlign w:val="superscript"/>
              </w:rPr>
              <w:t>nd</w:t>
            </w:r>
            <w:r>
              <w:rPr>
                <w:rFonts w:hint="default" w:ascii="Times New Roman" w:hAnsi="Times New Roman" w:cs="Times New Roman"/>
                <w:sz w:val="20"/>
                <w:szCs w:val="20"/>
              </w:rPr>
              <w:t xml:space="preserve"> goal</w:t>
            </w:r>
          </w:p>
        </w:tc>
        <w:tc>
          <w:tcPr>
            <w:tcW w:w="1294" w:type="dxa"/>
            <w:noWrap w:val="0"/>
            <w:vAlign w:val="top"/>
          </w:tcPr>
          <w:p w14:paraId="02AB4E3F">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TBD</w:t>
            </w:r>
          </w:p>
        </w:tc>
      </w:tr>
      <w:tr w14:paraId="6AE75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noWrap w:val="0"/>
            <w:vAlign w:val="top"/>
          </w:tcPr>
          <w:p w14:paraId="4AFF805E">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2</w:t>
            </w:r>
          </w:p>
        </w:tc>
        <w:tc>
          <w:tcPr>
            <w:tcW w:w="1283" w:type="dxa"/>
            <w:noWrap w:val="0"/>
            <w:vAlign w:val="top"/>
          </w:tcPr>
          <w:p w14:paraId="4CDD7D3D">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High</w:t>
            </w:r>
          </w:p>
        </w:tc>
        <w:tc>
          <w:tcPr>
            <w:tcW w:w="3801" w:type="dxa"/>
            <w:noWrap w:val="0"/>
            <w:vAlign w:val="top"/>
          </w:tcPr>
          <w:p w14:paraId="340EDA17">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FR1 to FR1 intra-frequency temporal domain case B</w:t>
            </w:r>
          </w:p>
        </w:tc>
        <w:tc>
          <w:tcPr>
            <w:tcW w:w="1268" w:type="dxa"/>
            <w:noWrap w:val="0"/>
            <w:vAlign w:val="top"/>
          </w:tcPr>
          <w:p w14:paraId="4C8EADAD">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1</w:t>
            </w:r>
            <w:r>
              <w:rPr>
                <w:rFonts w:hint="default" w:ascii="Times New Roman" w:hAnsi="Times New Roman" w:cs="Times New Roman"/>
                <w:sz w:val="20"/>
                <w:szCs w:val="20"/>
                <w:vertAlign w:val="superscript"/>
              </w:rPr>
              <w:t>st</w:t>
            </w:r>
            <w:r>
              <w:rPr>
                <w:rFonts w:hint="default" w:ascii="Times New Roman" w:hAnsi="Times New Roman" w:cs="Times New Roman"/>
                <w:sz w:val="20"/>
                <w:szCs w:val="20"/>
              </w:rPr>
              <w:t xml:space="preserve"> goal</w:t>
            </w:r>
          </w:p>
        </w:tc>
        <w:tc>
          <w:tcPr>
            <w:tcW w:w="1294" w:type="dxa"/>
            <w:noWrap w:val="0"/>
            <w:vAlign w:val="top"/>
          </w:tcPr>
          <w:p w14:paraId="1593C97F">
            <w:pPr>
              <w:spacing w:before="120" w:beforeLines="50"/>
              <w:rPr>
                <w:rFonts w:hint="default" w:ascii="Times New Roman" w:hAnsi="Times New Roman" w:cs="Times New Roman"/>
                <w:sz w:val="20"/>
                <w:szCs w:val="20"/>
                <w:vertAlign w:val="superscript"/>
              </w:rPr>
            </w:pPr>
            <w:r>
              <w:rPr>
                <w:rFonts w:hint="default" w:ascii="Times New Roman" w:hAnsi="Times New Roman" w:cs="Times New Roman"/>
                <w:sz w:val="20"/>
                <w:szCs w:val="20"/>
              </w:rPr>
              <w:t>Intra-cell</w:t>
            </w:r>
          </w:p>
        </w:tc>
      </w:tr>
      <w:tr w14:paraId="69614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noWrap w:val="0"/>
            <w:vAlign w:val="top"/>
          </w:tcPr>
          <w:p w14:paraId="2C16A124">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3</w:t>
            </w:r>
          </w:p>
        </w:tc>
        <w:tc>
          <w:tcPr>
            <w:tcW w:w="1283" w:type="dxa"/>
            <w:noWrap w:val="0"/>
            <w:vAlign w:val="top"/>
          </w:tcPr>
          <w:p w14:paraId="6FED2137">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High</w:t>
            </w:r>
          </w:p>
        </w:tc>
        <w:tc>
          <w:tcPr>
            <w:tcW w:w="3801" w:type="dxa"/>
            <w:noWrap w:val="0"/>
            <w:vAlign w:val="top"/>
          </w:tcPr>
          <w:p w14:paraId="381815FA">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FR1 to FR1 inter-frequency (frequency domain)</w:t>
            </w:r>
          </w:p>
        </w:tc>
        <w:tc>
          <w:tcPr>
            <w:tcW w:w="1268" w:type="dxa"/>
            <w:noWrap w:val="0"/>
            <w:vAlign w:val="top"/>
          </w:tcPr>
          <w:p w14:paraId="6B12F6A0">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1</w:t>
            </w:r>
            <w:r>
              <w:rPr>
                <w:rFonts w:hint="default" w:ascii="Times New Roman" w:hAnsi="Times New Roman" w:cs="Times New Roman"/>
                <w:sz w:val="20"/>
                <w:szCs w:val="20"/>
                <w:vertAlign w:val="superscript"/>
              </w:rPr>
              <w:t>st</w:t>
            </w:r>
            <w:r>
              <w:rPr>
                <w:rFonts w:hint="default" w:ascii="Times New Roman" w:hAnsi="Times New Roman" w:cs="Times New Roman"/>
                <w:sz w:val="20"/>
                <w:szCs w:val="20"/>
              </w:rPr>
              <w:t xml:space="preserve"> goal</w:t>
            </w:r>
          </w:p>
        </w:tc>
        <w:tc>
          <w:tcPr>
            <w:tcW w:w="1294" w:type="dxa"/>
            <w:noWrap w:val="0"/>
            <w:vAlign w:val="top"/>
          </w:tcPr>
          <w:p w14:paraId="0C9EE73B">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 xml:space="preserve">Inter-cell </w:t>
            </w:r>
          </w:p>
        </w:tc>
      </w:tr>
      <w:tr w14:paraId="06F81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noWrap w:val="0"/>
            <w:vAlign w:val="top"/>
          </w:tcPr>
          <w:p w14:paraId="6D2B0696">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4</w:t>
            </w:r>
          </w:p>
        </w:tc>
        <w:tc>
          <w:tcPr>
            <w:tcW w:w="1283" w:type="dxa"/>
            <w:noWrap w:val="0"/>
            <w:vAlign w:val="top"/>
          </w:tcPr>
          <w:p w14:paraId="54D5FA10">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High</w:t>
            </w:r>
          </w:p>
        </w:tc>
        <w:tc>
          <w:tcPr>
            <w:tcW w:w="3801" w:type="dxa"/>
            <w:noWrap w:val="0"/>
            <w:vAlign w:val="top"/>
          </w:tcPr>
          <w:p w14:paraId="7CBE9D8E">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FR2 to FR2 intra-frequency temporal domain case A</w:t>
            </w:r>
          </w:p>
        </w:tc>
        <w:tc>
          <w:tcPr>
            <w:tcW w:w="1268" w:type="dxa"/>
            <w:noWrap w:val="0"/>
            <w:vAlign w:val="top"/>
          </w:tcPr>
          <w:p w14:paraId="46A59E75">
            <w:pPr>
              <w:spacing w:before="120" w:beforeLines="50"/>
              <w:rPr>
                <w:rFonts w:hint="default" w:ascii="Times New Roman" w:hAnsi="Times New Roman" w:cs="Times New Roman"/>
                <w:sz w:val="20"/>
                <w:szCs w:val="20"/>
                <w:highlight w:val="yellow"/>
              </w:rPr>
            </w:pPr>
            <w:r>
              <w:rPr>
                <w:rFonts w:hint="default" w:ascii="Times New Roman" w:hAnsi="Times New Roman" w:cs="Times New Roman"/>
                <w:sz w:val="20"/>
                <w:szCs w:val="20"/>
              </w:rPr>
              <w:t>2</w:t>
            </w:r>
            <w:r>
              <w:rPr>
                <w:rFonts w:hint="default" w:ascii="Times New Roman" w:hAnsi="Times New Roman" w:cs="Times New Roman"/>
                <w:sz w:val="20"/>
                <w:szCs w:val="20"/>
                <w:vertAlign w:val="superscript"/>
              </w:rPr>
              <w:t>nd</w:t>
            </w:r>
            <w:r>
              <w:rPr>
                <w:rFonts w:hint="default" w:ascii="Times New Roman" w:hAnsi="Times New Roman" w:cs="Times New Roman"/>
                <w:sz w:val="20"/>
                <w:szCs w:val="20"/>
              </w:rPr>
              <w:t xml:space="preserve"> goal</w:t>
            </w:r>
          </w:p>
        </w:tc>
        <w:tc>
          <w:tcPr>
            <w:tcW w:w="1294" w:type="dxa"/>
            <w:noWrap w:val="0"/>
            <w:vAlign w:val="top"/>
          </w:tcPr>
          <w:p w14:paraId="6F839BA5">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Intra-cell</w:t>
            </w:r>
          </w:p>
        </w:tc>
      </w:tr>
      <w:tr w14:paraId="0ED40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noWrap w:val="0"/>
            <w:vAlign w:val="top"/>
          </w:tcPr>
          <w:p w14:paraId="285A557D">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5</w:t>
            </w:r>
          </w:p>
        </w:tc>
        <w:tc>
          <w:tcPr>
            <w:tcW w:w="1283" w:type="dxa"/>
            <w:noWrap w:val="0"/>
            <w:vAlign w:val="top"/>
          </w:tcPr>
          <w:p w14:paraId="2C4977B4">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Low</w:t>
            </w:r>
          </w:p>
        </w:tc>
        <w:tc>
          <w:tcPr>
            <w:tcW w:w="3801" w:type="dxa"/>
            <w:noWrap w:val="0"/>
            <w:vAlign w:val="top"/>
          </w:tcPr>
          <w:p w14:paraId="0C9CABA1">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FR2 to FR2 intra-frequency temporal domain case B</w:t>
            </w:r>
          </w:p>
        </w:tc>
        <w:tc>
          <w:tcPr>
            <w:tcW w:w="1268" w:type="dxa"/>
            <w:noWrap w:val="0"/>
            <w:vAlign w:val="top"/>
          </w:tcPr>
          <w:p w14:paraId="53FBC051">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1</w:t>
            </w:r>
            <w:r>
              <w:rPr>
                <w:rFonts w:hint="default" w:ascii="Times New Roman" w:hAnsi="Times New Roman" w:cs="Times New Roman"/>
                <w:sz w:val="20"/>
                <w:szCs w:val="20"/>
                <w:vertAlign w:val="superscript"/>
              </w:rPr>
              <w:t>st</w:t>
            </w:r>
            <w:r>
              <w:rPr>
                <w:rFonts w:hint="default" w:ascii="Times New Roman" w:hAnsi="Times New Roman" w:cs="Times New Roman"/>
                <w:sz w:val="20"/>
                <w:szCs w:val="20"/>
              </w:rPr>
              <w:t xml:space="preserve"> goal</w:t>
            </w:r>
          </w:p>
        </w:tc>
        <w:tc>
          <w:tcPr>
            <w:tcW w:w="1294" w:type="dxa"/>
            <w:noWrap w:val="0"/>
            <w:vAlign w:val="top"/>
          </w:tcPr>
          <w:p w14:paraId="7D355D61">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TBD</w:t>
            </w:r>
          </w:p>
        </w:tc>
      </w:tr>
      <w:tr w14:paraId="624C1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noWrap w:val="0"/>
            <w:vAlign w:val="top"/>
          </w:tcPr>
          <w:p w14:paraId="0FFACE0C">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6</w:t>
            </w:r>
          </w:p>
        </w:tc>
        <w:tc>
          <w:tcPr>
            <w:tcW w:w="1283" w:type="dxa"/>
            <w:noWrap w:val="0"/>
            <w:vAlign w:val="top"/>
          </w:tcPr>
          <w:p w14:paraId="4CFD3382">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Middle</w:t>
            </w:r>
          </w:p>
        </w:tc>
        <w:tc>
          <w:tcPr>
            <w:tcW w:w="3801" w:type="dxa"/>
            <w:noWrap w:val="0"/>
            <w:vAlign w:val="top"/>
          </w:tcPr>
          <w:p w14:paraId="1E3A1A30">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FR2 to FR2 intra-frequency spatial domain</w:t>
            </w:r>
          </w:p>
        </w:tc>
        <w:tc>
          <w:tcPr>
            <w:tcW w:w="1268" w:type="dxa"/>
            <w:noWrap w:val="0"/>
            <w:vAlign w:val="top"/>
          </w:tcPr>
          <w:p w14:paraId="0DF7EF13">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1</w:t>
            </w:r>
            <w:r>
              <w:rPr>
                <w:rFonts w:hint="default" w:ascii="Times New Roman" w:hAnsi="Times New Roman" w:cs="Times New Roman"/>
                <w:sz w:val="20"/>
                <w:szCs w:val="20"/>
                <w:vertAlign w:val="superscript"/>
              </w:rPr>
              <w:t>st</w:t>
            </w:r>
            <w:r>
              <w:rPr>
                <w:rFonts w:hint="default" w:ascii="Times New Roman" w:hAnsi="Times New Roman" w:cs="Times New Roman"/>
                <w:sz w:val="20"/>
                <w:szCs w:val="20"/>
              </w:rPr>
              <w:t xml:space="preserve"> goal</w:t>
            </w:r>
          </w:p>
        </w:tc>
        <w:tc>
          <w:tcPr>
            <w:tcW w:w="1294" w:type="dxa"/>
            <w:noWrap w:val="0"/>
            <w:vAlign w:val="top"/>
          </w:tcPr>
          <w:p w14:paraId="2BB3B4D5">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Intra-cell</w:t>
            </w:r>
          </w:p>
        </w:tc>
      </w:tr>
    </w:tbl>
    <w:p w14:paraId="3CA8BDFF">
      <w:pPr>
        <w:spacing w:after="180" w:line="240" w:lineRule="exact"/>
        <w:rPr>
          <w:rFonts w:hint="eastAsia" w:ascii="Times New Roman" w:hAnsi="Times New Roman" w:eastAsia="等线"/>
          <w:bCs/>
          <w:iCs/>
          <w:sz w:val="20"/>
          <w:szCs w:val="20"/>
          <w:lang w:val="en-US" w:eastAsia="zh-CN"/>
        </w:rPr>
      </w:pPr>
    </w:p>
    <w:p w14:paraId="75F0D01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During study phase, there is discussion on whether to consider other spatial domain prediction. The conclusion, is that except scenario 2, 3, 4, discussion on other scenarios are not precluded in work item.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D9E8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2450822">
            <w:pPr>
              <w:snapToGrid w:val="0"/>
              <w:spacing w:after="120"/>
              <w:jc w:val="both"/>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TR 38.744 section 6.2.1</w:t>
            </w:r>
          </w:p>
          <w:p w14:paraId="133A7336">
            <w:pPr>
              <w:snapToGrid w:val="0"/>
              <w:spacing w:after="12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The </w:t>
            </w:r>
            <w:r>
              <w:rPr>
                <w:rFonts w:hint="default" w:ascii="Times New Roman" w:hAnsi="Times New Roman" w:cs="Times New Roman"/>
                <w:sz w:val="20"/>
                <w:szCs w:val="20"/>
                <w:lang w:val="en-US" w:eastAsia="zh-CN"/>
              </w:rPr>
              <w:t xml:space="preserve">impact on </w:t>
            </w:r>
            <w:r>
              <w:rPr>
                <w:rFonts w:hint="default" w:ascii="Times New Roman" w:hAnsi="Times New Roman" w:cs="Times New Roman"/>
                <w:bCs/>
                <w:sz w:val="20"/>
                <w:szCs w:val="20"/>
                <w:lang w:eastAsia="zh-CN"/>
              </w:rPr>
              <w:t xml:space="preserve">RRM </w:t>
            </w:r>
            <w:r>
              <w:rPr>
                <w:rFonts w:hint="default" w:ascii="Times New Roman" w:hAnsi="Times New Roman" w:cs="Times New Roman"/>
                <w:bCs/>
                <w:sz w:val="20"/>
                <w:szCs w:val="20"/>
              </w:rPr>
              <w:t>requirements</w:t>
            </w:r>
            <w:r>
              <w:rPr>
                <w:rFonts w:hint="default" w:ascii="Times New Roman" w:hAnsi="Times New Roman" w:cs="Times New Roman"/>
                <w:bCs/>
                <w:sz w:val="20"/>
                <w:szCs w:val="20"/>
                <w:lang w:eastAsia="zh-CN"/>
              </w:rPr>
              <w:t xml:space="preserve"> for </w:t>
            </w:r>
            <w:r>
              <w:rPr>
                <w:rFonts w:hint="default" w:ascii="Times New Roman" w:hAnsi="Times New Roman" w:cs="Times New Roman"/>
                <w:sz w:val="20"/>
                <w:szCs w:val="20"/>
              </w:rPr>
              <w:t>L3 cell-level</w:t>
            </w:r>
            <w:r>
              <w:rPr>
                <w:rFonts w:hint="default" w:ascii="Times New Roman" w:hAnsi="Times New Roman" w:cs="Times New Roman"/>
                <w:sz w:val="20"/>
                <w:szCs w:val="20"/>
                <w:lang w:eastAsia="zh-CN"/>
              </w:rPr>
              <w:t xml:space="preserve"> RSRP</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zh-CN"/>
              </w:rPr>
              <w:t xml:space="preserve">i.e., </w:t>
            </w:r>
            <w:r>
              <w:rPr>
                <w:rFonts w:hint="default" w:ascii="Times New Roman" w:hAnsi="Times New Roman" w:cs="Times New Roman"/>
                <w:sz w:val="20"/>
                <w:szCs w:val="20"/>
              </w:rPr>
              <w:t xml:space="preserve">Point C as defined in Figure 9.2.4-1 in TS 38.300) measurement prediction has been studied for </w:t>
            </w:r>
            <w:r>
              <w:rPr>
                <w:rFonts w:hint="default" w:ascii="Times New Roman" w:hAnsi="Times New Roman" w:cs="Times New Roman"/>
                <w:sz w:val="20"/>
                <w:szCs w:val="20"/>
                <w:lang w:eastAsia="zh-CN"/>
              </w:rPr>
              <w:t>scenarios 2,</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3,</w:t>
            </w:r>
            <w:r>
              <w:rPr>
                <w:rFonts w:hint="default" w:ascii="Times New Roman" w:hAnsi="Times New Roman" w:cs="Times New Roman"/>
                <w:sz w:val="20"/>
                <w:szCs w:val="20"/>
                <w:lang w:val="en-US" w:eastAsia="zh-CN"/>
              </w:rPr>
              <w:t xml:space="preserve"> and </w:t>
            </w:r>
            <w:r>
              <w:rPr>
                <w:rFonts w:hint="default" w:ascii="Times New Roman" w:hAnsi="Times New Roman" w:cs="Times New Roman"/>
                <w:sz w:val="20"/>
                <w:szCs w:val="20"/>
                <w:lang w:eastAsia="zh-CN"/>
              </w:rPr>
              <w:t xml:space="preserve">4 as defined in Table 5.2.1.1-1 and </w:t>
            </w:r>
            <w:r>
              <w:rPr>
                <w:rFonts w:hint="default" w:ascii="Times New Roman" w:hAnsi="Times New Roman" w:cs="Times New Roman"/>
                <w:sz w:val="20"/>
                <w:szCs w:val="20"/>
                <w:lang w:val="en-US" w:eastAsia="zh-CN"/>
              </w:rPr>
              <w:t xml:space="preserve">the </w:t>
            </w:r>
            <w:r>
              <w:rPr>
                <w:rFonts w:hint="default" w:ascii="Times New Roman" w:hAnsi="Times New Roman" w:cs="Times New Roman"/>
                <w:sz w:val="20"/>
                <w:szCs w:val="20"/>
                <w:lang w:eastAsia="zh-CN"/>
              </w:rPr>
              <w:t>sub-use cases 1,</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2,</w:t>
            </w:r>
            <w:r>
              <w:rPr>
                <w:rFonts w:hint="default" w:ascii="Times New Roman" w:hAnsi="Times New Roman" w:cs="Times New Roman"/>
                <w:sz w:val="20"/>
                <w:szCs w:val="20"/>
                <w:lang w:val="en-US" w:eastAsia="zh-CN"/>
              </w:rPr>
              <w:t xml:space="preserve"> and </w:t>
            </w:r>
            <w:r>
              <w:rPr>
                <w:rFonts w:hint="default" w:ascii="Times New Roman" w:hAnsi="Times New Roman" w:cs="Times New Roman"/>
                <w:sz w:val="20"/>
                <w:szCs w:val="20"/>
                <w:lang w:eastAsia="zh-CN"/>
              </w:rPr>
              <w:t>3 as defined in section 4.2</w:t>
            </w:r>
            <w:r>
              <w:rPr>
                <w:rFonts w:hint="default" w:ascii="Times New Roman" w:hAnsi="Times New Roman" w:cs="Times New Roman"/>
                <w:sz w:val="20"/>
                <w:szCs w:val="20"/>
                <w:lang w:val="en-US" w:eastAsia="zh-CN"/>
              </w:rPr>
              <w:t xml:space="preserve">. </w:t>
            </w:r>
          </w:p>
          <w:p w14:paraId="446295B1">
            <w:p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Editor Note: The impact of L3 beam level (Point E </w:t>
            </w:r>
            <w:r>
              <w:rPr>
                <w:rFonts w:hint="default" w:ascii="Times New Roman" w:hAnsi="Times New Roman" w:cs="Times New Roman"/>
                <w:sz w:val="20"/>
                <w:szCs w:val="20"/>
              </w:rPr>
              <w:t>as defined in Figure 9.2.4-1 in TS 38.300</w:t>
            </w:r>
            <w:r>
              <w:rPr>
                <w:rFonts w:hint="default" w:ascii="Times New Roman" w:hAnsi="Times New Roman" w:cs="Times New Roman"/>
                <w:sz w:val="20"/>
                <w:szCs w:val="20"/>
                <w:lang w:val="en-US" w:eastAsia="zh-CN"/>
              </w:rPr>
              <w:t xml:space="preserve">) measurement prediction has not been studied. However, it doesn’t preclude the discussion on L3 beam level measurement prediction in the work item phase. </w:t>
            </w:r>
          </w:p>
          <w:p w14:paraId="06EF1EB7">
            <w:pPr>
              <w:jc w:val="both"/>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b/>
                <w:bCs/>
                <w:sz w:val="20"/>
                <w:szCs w:val="20"/>
                <w:lang w:val="en-US" w:eastAsia="zh-CN"/>
              </w:rPr>
              <w:t xml:space="preserve">Editor Note: From RAN4 perspective, it is not precluded that other scenarios in Table </w:t>
            </w:r>
            <w:r>
              <w:rPr>
                <w:rFonts w:hint="default" w:ascii="Times New Roman" w:hAnsi="Times New Roman" w:cs="Times New Roman"/>
                <w:b/>
                <w:bCs/>
                <w:sz w:val="20"/>
                <w:szCs w:val="20"/>
                <w:lang w:eastAsia="zh-CN"/>
              </w:rPr>
              <w:t xml:space="preserve">5.2.1.1-1 </w:t>
            </w:r>
            <w:r>
              <w:rPr>
                <w:rFonts w:hint="default" w:ascii="Times New Roman" w:hAnsi="Times New Roman" w:cs="Times New Roman"/>
                <w:b/>
                <w:bCs/>
                <w:sz w:val="20"/>
                <w:szCs w:val="20"/>
                <w:lang w:val="en-US" w:eastAsia="zh-CN"/>
              </w:rPr>
              <w:t xml:space="preserve">will be discussed in work item. </w:t>
            </w:r>
          </w:p>
        </w:tc>
      </w:tr>
    </w:tbl>
    <w:p w14:paraId="2688C2B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Cs/>
          <w:iCs/>
          <w:sz w:val="20"/>
          <w:szCs w:val="20"/>
          <w:lang w:val="en-US" w:eastAsia="zh-CN"/>
        </w:rPr>
      </w:pPr>
    </w:p>
    <w:p w14:paraId="784802A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According to the WID [2], temporal domain prediction case A, temporal domain prediction case B, and frequency domain prediction for co-located cases are considered. For RAN4 work, we can follow the WID and focus on these three scenarios. No need to consider other scenarios.</w:t>
      </w:r>
    </w:p>
    <w:p w14:paraId="73435D5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for scenario, it is proposed that RAN4 focus on temporal domain prediction case A, temporal domain prediction case B, and frequency domain prediction for co-located cases.</w:t>
      </w:r>
    </w:p>
    <w:p w14:paraId="539A1BE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One issue is about L3 beam-level measurement prediction. As duplicated below, the conclusion in study phase that RAN4 can further discuss this issue pending on the RAN2 progress.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3E6B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8983C0F">
            <w:pPr>
              <w:rPr>
                <w:rFonts w:hint="default" w:ascii="Times New Roman" w:hAnsi="Times New Roman" w:eastAsia="MS Mincho" w:cs="Times New Roman"/>
                <w:b/>
                <w:bCs/>
                <w:sz w:val="20"/>
                <w:szCs w:val="20"/>
                <w:highlight w:val="none"/>
                <w:u w:val="none"/>
                <w:lang w:val="en-US" w:eastAsia="zh-CN"/>
              </w:rPr>
            </w:pPr>
            <w:r>
              <w:rPr>
                <w:rFonts w:hint="default" w:ascii="Times New Roman" w:hAnsi="Times New Roman" w:eastAsia="MS Mincho" w:cs="Times New Roman"/>
                <w:b/>
                <w:bCs/>
                <w:sz w:val="20"/>
                <w:szCs w:val="20"/>
                <w:highlight w:val="none"/>
                <w:u w:val="none"/>
                <w:lang w:val="en-US" w:eastAsia="zh-CN"/>
              </w:rPr>
              <w:t>Agreements in RAN4#115 meeting (</w:t>
            </w:r>
            <w:r>
              <w:rPr>
                <w:rFonts w:hint="default" w:ascii="Times New Roman" w:hAnsi="Times New Roman" w:cs="Times New Roman"/>
                <w:b/>
                <w:bCs/>
                <w:sz w:val="20"/>
                <w:szCs w:val="20"/>
                <w:highlight w:val="none"/>
                <w:u w:val="none"/>
                <w:lang w:eastAsia="ja-JP"/>
              </w:rPr>
              <w:t>R4-2508268</w:t>
            </w:r>
            <w:r>
              <w:rPr>
                <w:rFonts w:hint="default" w:ascii="Times New Roman" w:hAnsi="Times New Roman" w:eastAsia="MS Mincho" w:cs="Times New Roman"/>
                <w:b/>
                <w:bCs/>
                <w:sz w:val="20"/>
                <w:szCs w:val="20"/>
                <w:highlight w:val="none"/>
                <w:u w:val="none"/>
                <w:lang w:val="en-US" w:eastAsia="zh-CN"/>
              </w:rPr>
              <w:t>)</w:t>
            </w:r>
          </w:p>
          <w:p w14:paraId="3D8BA069">
            <w:pPr>
              <w:rPr>
                <w:rFonts w:hint="default" w:ascii="Times New Roman" w:hAnsi="Times New Roman" w:eastAsia="MS Mincho" w:cs="Times New Roman"/>
                <w:b/>
                <w:bCs/>
                <w:sz w:val="20"/>
                <w:szCs w:val="20"/>
                <w:highlight w:val="none"/>
                <w:u w:val="none"/>
                <w:lang w:val="en-US" w:eastAsia="zh-CN"/>
              </w:rPr>
            </w:pPr>
          </w:p>
          <w:p w14:paraId="19734552">
            <w:pPr>
              <w:rPr>
                <w:rFonts w:hint="default" w:ascii="Times New Roman" w:hAnsi="Times New Roman" w:eastAsia="MS Mincho" w:cs="Times New Roman"/>
                <w:b w:val="0"/>
                <w:bCs w:val="0"/>
                <w:sz w:val="20"/>
                <w:szCs w:val="20"/>
                <w:highlight w:val="none"/>
                <w:u w:val="single"/>
                <w:lang w:eastAsia="zh-CN"/>
              </w:rPr>
            </w:pPr>
            <w:r>
              <w:rPr>
                <w:rFonts w:hint="default" w:ascii="Times New Roman" w:hAnsi="Times New Roman" w:eastAsia="MS Mincho" w:cs="Times New Roman"/>
                <w:b w:val="0"/>
                <w:bCs w:val="0"/>
                <w:sz w:val="20"/>
                <w:szCs w:val="20"/>
                <w:highlight w:val="none"/>
                <w:u w:val="single"/>
                <w:lang w:eastAsia="zh-CN"/>
              </w:rPr>
              <w:t>Issue 2-1: Relative RSRP accuracy definition</w:t>
            </w:r>
          </w:p>
          <w:p w14:paraId="7C898592">
            <w:pPr>
              <w:spacing w:after="12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Agreement:</w:t>
            </w:r>
          </w:p>
          <w:p w14:paraId="42D63FE1">
            <w:pPr>
              <w:pStyle w:val="13"/>
              <w:numPr>
                <w:ilvl w:val="0"/>
                <w:numId w:val="6"/>
              </w:numPr>
              <w:snapToGrid w:val="0"/>
              <w:spacing w:after="120"/>
              <w:ind w:firstLineChars="0"/>
              <w:textAlignment w:val="auto"/>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For intra-frequency L3-RSRP,</w:t>
            </w:r>
          </w:p>
          <w:p w14:paraId="305D6EBC">
            <w:pPr>
              <w:pStyle w:val="13"/>
              <w:numPr>
                <w:ilvl w:val="1"/>
                <w:numId w:val="6"/>
              </w:numPr>
              <w:snapToGrid w:val="0"/>
              <w:spacing w:after="120"/>
              <w:ind w:firstLineChars="0"/>
              <w:textAlignment w:val="auto"/>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lang w:val="sv-SE"/>
              </w:rPr>
              <w:t>Relative accuracy of predicted L3-RSRP</w:t>
            </w:r>
            <w:r>
              <w:rPr>
                <w:rFonts w:hint="default" w:ascii="Times New Roman" w:hAnsi="Times New Roman" w:eastAsia="Yu Mincho" w:cs="Times New Roman"/>
                <w:sz w:val="20"/>
                <w:szCs w:val="20"/>
                <w:highlight w:val="none"/>
              </w:rPr>
              <w:t xml:space="preserve"> = (reported predicted L3-RSRP of cell 1 – reported RSRP of cell 2) – (ground truth of RSRP of cell 1 – ground truth of RSRP of cell 2), </w:t>
            </w:r>
          </w:p>
          <w:p w14:paraId="0B6DED87">
            <w:pPr>
              <w:pStyle w:val="13"/>
              <w:numPr>
                <w:ilvl w:val="2"/>
                <w:numId w:val="6"/>
              </w:numPr>
              <w:snapToGrid w:val="0"/>
              <w:spacing w:after="120"/>
              <w:ind w:firstLineChars="0"/>
              <w:textAlignment w:val="auto"/>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cell 1 and cell 2 are on the same frequency</w:t>
            </w:r>
          </w:p>
          <w:p w14:paraId="133E159C">
            <w:pPr>
              <w:pStyle w:val="13"/>
              <w:numPr>
                <w:ilvl w:val="2"/>
                <w:numId w:val="6"/>
              </w:numPr>
              <w:snapToGrid w:val="0"/>
              <w:spacing w:after="120"/>
              <w:ind w:firstLineChars="0"/>
              <w:textAlignment w:val="auto"/>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the reported RSRP of cell2 can be measured or predicted.</w:t>
            </w:r>
          </w:p>
          <w:p w14:paraId="4FCFB2AD">
            <w:pPr>
              <w:pStyle w:val="13"/>
              <w:numPr>
                <w:ilvl w:val="2"/>
                <w:numId w:val="6"/>
              </w:numPr>
              <w:snapToGrid w:val="0"/>
              <w:spacing w:after="120"/>
              <w:ind w:firstLineChars="0"/>
              <w:textAlignment w:val="auto"/>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 xml:space="preserve">FFS on </w:t>
            </w:r>
            <w:r>
              <w:rPr>
                <w:rFonts w:hint="default" w:ascii="Times New Roman" w:hAnsi="Times New Roman" w:eastAsia="Yu Mincho" w:cs="Times New Roman"/>
                <w:sz w:val="20"/>
                <w:szCs w:val="20"/>
                <w:highlight w:val="none"/>
                <w:u w:val="single"/>
              </w:rPr>
              <w:t>whether and</w:t>
            </w:r>
            <w:r>
              <w:rPr>
                <w:rFonts w:hint="default" w:ascii="Times New Roman" w:hAnsi="Times New Roman" w:eastAsia="Yu Mincho" w:cs="Times New Roman"/>
                <w:sz w:val="20"/>
                <w:szCs w:val="20"/>
                <w:highlight w:val="none"/>
              </w:rPr>
              <w:t xml:space="preserve"> how to consider time difference between the </w:t>
            </w:r>
            <w:r>
              <w:rPr>
                <w:rFonts w:hint="default" w:ascii="Times New Roman" w:hAnsi="Times New Roman" w:eastAsia="Yu Mincho" w:cs="Times New Roman"/>
                <w:sz w:val="20"/>
                <w:szCs w:val="20"/>
                <w:highlight w:val="none"/>
                <w:u w:val="single"/>
              </w:rPr>
              <w:t>two reported RSRPs when applying the definition of the relative RSRP accuracy</w:t>
            </w:r>
          </w:p>
          <w:p w14:paraId="6E0668BE">
            <w:pPr>
              <w:pStyle w:val="13"/>
              <w:numPr>
                <w:ilvl w:val="1"/>
                <w:numId w:val="6"/>
              </w:numPr>
              <w:snapToGrid w:val="0"/>
              <w:spacing w:after="120"/>
              <w:ind w:firstLineChars="0"/>
              <w:textAlignment w:val="auto"/>
              <w:rPr>
                <w:rFonts w:hint="default" w:ascii="Times New Roman" w:hAnsi="Times New Roman" w:eastAsia="Yu Mincho" w:cs="Times New Roman"/>
                <w:sz w:val="20"/>
                <w:szCs w:val="20"/>
                <w:highlight w:val="yellow"/>
              </w:rPr>
            </w:pPr>
            <w:r>
              <w:rPr>
                <w:rFonts w:hint="default" w:ascii="Times New Roman" w:hAnsi="Times New Roman" w:eastAsia="Yu Mincho" w:cs="Times New Roman"/>
                <w:sz w:val="20"/>
                <w:szCs w:val="20"/>
                <w:highlight w:val="yellow"/>
              </w:rPr>
              <w:t>Relative RSRP accuracy for Beam level measurements is FFS during WI phase depending upon RAN2 progress.</w:t>
            </w:r>
          </w:p>
          <w:p w14:paraId="06ED2F52">
            <w:pPr>
              <w:pStyle w:val="13"/>
              <w:numPr>
                <w:ilvl w:val="0"/>
                <w:numId w:val="6"/>
              </w:numPr>
              <w:snapToGrid w:val="0"/>
              <w:spacing w:after="120"/>
              <w:ind w:hanging="357" w:firstLineChars="0"/>
              <w:textAlignment w:val="auto"/>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For inter-frequency L3-RSRP,</w:t>
            </w:r>
          </w:p>
          <w:p w14:paraId="543D1EA6">
            <w:pPr>
              <w:pStyle w:val="13"/>
              <w:numPr>
                <w:ilvl w:val="1"/>
                <w:numId w:val="6"/>
              </w:numPr>
              <w:snapToGrid w:val="0"/>
              <w:spacing w:after="120"/>
              <w:ind w:hanging="357" w:firstLineChars="0"/>
              <w:textAlignment w:val="auto"/>
              <w:rPr>
                <w:rFonts w:hint="default" w:ascii="Times New Roman" w:hAnsi="Times New Roman" w:cs="Times New Roman"/>
                <w:sz w:val="20"/>
                <w:szCs w:val="20"/>
                <w:highlight w:val="none"/>
                <w:lang w:eastAsia="zh-CN"/>
              </w:rPr>
            </w:pPr>
            <w:r>
              <w:rPr>
                <w:rFonts w:hint="default" w:ascii="Times New Roman" w:hAnsi="Times New Roman" w:eastAsia="Yu Mincho" w:cs="Times New Roman"/>
                <w:sz w:val="20"/>
                <w:szCs w:val="20"/>
                <w:highlight w:val="none"/>
                <w:lang w:val="sv-SE"/>
              </w:rPr>
              <w:t>Relative accuracy of predicted L3-RSRP</w:t>
            </w:r>
            <w:r>
              <w:rPr>
                <w:rFonts w:hint="default" w:ascii="Times New Roman" w:hAnsi="Times New Roman" w:eastAsia="Yu Mincho" w:cs="Times New Roman"/>
                <w:sz w:val="20"/>
                <w:szCs w:val="20"/>
                <w:highlight w:val="none"/>
              </w:rPr>
              <w:t xml:space="preserve"> = (reported predicted L3-RSRP of cell 1 – reported RSRP of cell 2) – (ground truth of RSRP of cell 1 – ground truth of RSRP of cell 2), </w:t>
            </w:r>
          </w:p>
          <w:p w14:paraId="47CDB98B">
            <w:pPr>
              <w:pStyle w:val="13"/>
              <w:numPr>
                <w:ilvl w:val="2"/>
                <w:numId w:val="6"/>
              </w:numPr>
              <w:snapToGrid w:val="0"/>
              <w:spacing w:after="120"/>
              <w:ind w:firstLineChars="0"/>
              <w:textAlignment w:val="auto"/>
              <w:rPr>
                <w:rFonts w:hint="default" w:ascii="Times New Roman" w:hAnsi="Times New Roman" w:cs="Times New Roman"/>
                <w:sz w:val="20"/>
                <w:szCs w:val="20"/>
                <w:highlight w:val="none"/>
                <w:lang w:eastAsia="zh-CN"/>
              </w:rPr>
            </w:pPr>
            <w:r>
              <w:rPr>
                <w:rFonts w:hint="default" w:ascii="Times New Roman" w:hAnsi="Times New Roman" w:eastAsia="Yu Mincho" w:cs="Times New Roman"/>
                <w:sz w:val="20"/>
                <w:szCs w:val="20"/>
                <w:highlight w:val="none"/>
              </w:rPr>
              <w:t>cell 2 is on a different frequency than cell 1 but in the same FR as cell 1</w:t>
            </w:r>
          </w:p>
          <w:p w14:paraId="3A53F146">
            <w:pPr>
              <w:pStyle w:val="13"/>
              <w:numPr>
                <w:ilvl w:val="2"/>
                <w:numId w:val="6"/>
              </w:numPr>
              <w:snapToGrid w:val="0"/>
              <w:spacing w:after="120"/>
              <w:ind w:hanging="357" w:firstLineChars="0"/>
              <w:textAlignment w:val="auto"/>
              <w:rPr>
                <w:rFonts w:hint="default" w:ascii="Times New Roman" w:hAnsi="Times New Roman" w:cs="Times New Roman"/>
                <w:sz w:val="20"/>
                <w:szCs w:val="20"/>
                <w:highlight w:val="none"/>
                <w:lang w:eastAsia="zh-CN"/>
              </w:rPr>
            </w:pPr>
            <w:r>
              <w:rPr>
                <w:rFonts w:hint="default" w:ascii="Times New Roman" w:hAnsi="Times New Roman" w:eastAsia="Yu Mincho" w:cs="Times New Roman"/>
                <w:sz w:val="20"/>
                <w:szCs w:val="20"/>
                <w:highlight w:val="none"/>
              </w:rPr>
              <w:t>the reported RSRP of cell2 can be measured or predicted.</w:t>
            </w:r>
          </w:p>
          <w:p w14:paraId="415BD3DC">
            <w:pPr>
              <w:pStyle w:val="13"/>
              <w:numPr>
                <w:ilvl w:val="2"/>
                <w:numId w:val="6"/>
              </w:numPr>
              <w:snapToGrid w:val="0"/>
              <w:spacing w:after="120"/>
              <w:ind w:firstLineChars="0"/>
              <w:textAlignment w:val="auto"/>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 xml:space="preserve">FFS on </w:t>
            </w:r>
            <w:r>
              <w:rPr>
                <w:rFonts w:hint="default" w:ascii="Times New Roman" w:hAnsi="Times New Roman" w:eastAsia="Yu Mincho" w:cs="Times New Roman"/>
                <w:sz w:val="20"/>
                <w:szCs w:val="20"/>
                <w:highlight w:val="none"/>
                <w:u w:val="single"/>
              </w:rPr>
              <w:t>whether and</w:t>
            </w:r>
            <w:r>
              <w:rPr>
                <w:rFonts w:hint="default" w:ascii="Times New Roman" w:hAnsi="Times New Roman" w:eastAsia="Yu Mincho" w:cs="Times New Roman"/>
                <w:sz w:val="20"/>
                <w:szCs w:val="20"/>
                <w:highlight w:val="none"/>
              </w:rPr>
              <w:t xml:space="preserve"> how to consider time difference between the </w:t>
            </w:r>
            <w:r>
              <w:rPr>
                <w:rFonts w:hint="default" w:ascii="Times New Roman" w:hAnsi="Times New Roman" w:eastAsia="Yu Mincho" w:cs="Times New Roman"/>
                <w:sz w:val="20"/>
                <w:szCs w:val="20"/>
                <w:highlight w:val="none"/>
                <w:u w:val="single"/>
              </w:rPr>
              <w:t>two reported RSRPs when applying the definition of the relative RSRP accuracy</w:t>
            </w:r>
          </w:p>
          <w:p w14:paraId="7C454429">
            <w:pPr>
              <w:rPr>
                <w:rFonts w:hint="default" w:ascii="Times New Roman" w:hAnsi="Times New Roman" w:eastAsia="MS Mincho" w:cs="Times New Roman"/>
                <w:b/>
                <w:bCs/>
                <w:sz w:val="20"/>
                <w:szCs w:val="20"/>
                <w:highlight w:val="none"/>
                <w:u w:val="single"/>
                <w:lang w:eastAsia="zh-CN"/>
              </w:rPr>
            </w:pPr>
          </w:p>
          <w:p w14:paraId="29D3F8D8">
            <w:pPr>
              <w:rPr>
                <w:rFonts w:hint="default" w:ascii="Times New Roman" w:hAnsi="Times New Roman" w:eastAsia="MS Mincho" w:cs="Times New Roman"/>
                <w:b w:val="0"/>
                <w:bCs w:val="0"/>
                <w:sz w:val="20"/>
                <w:szCs w:val="20"/>
                <w:highlight w:val="none"/>
                <w:u w:val="single"/>
                <w:lang w:val="sv-SE" w:eastAsia="zh-CN"/>
              </w:rPr>
            </w:pPr>
            <w:r>
              <w:rPr>
                <w:rFonts w:hint="default" w:ascii="Times New Roman" w:hAnsi="Times New Roman" w:eastAsia="MS Mincho" w:cs="Times New Roman"/>
                <w:b w:val="0"/>
                <w:bCs w:val="0"/>
                <w:sz w:val="20"/>
                <w:szCs w:val="20"/>
                <w:highlight w:val="none"/>
                <w:u w:val="single"/>
                <w:lang w:eastAsia="zh-CN"/>
              </w:rPr>
              <w:t>Issue 2-5: Impacts on beam/cell level measurements</w:t>
            </w:r>
          </w:p>
          <w:p w14:paraId="3C0DAA57">
            <w:pPr>
              <w:spacing w:before="100" w:beforeAutospacing="1"/>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Agreement:</w:t>
            </w:r>
          </w:p>
          <w:p w14:paraId="734C8CFA">
            <w:pPr>
              <w:spacing w:before="100" w:beforeAutospacing="1"/>
              <w:rPr>
                <w:rFonts w:hint="default" w:ascii="Times New Roman" w:hAnsi="Times New Roman" w:cs="Times New Roman"/>
                <w:sz w:val="20"/>
                <w:szCs w:val="20"/>
                <w:highlight w:val="yellow"/>
                <w:lang w:eastAsia="zh-CN"/>
              </w:rPr>
            </w:pPr>
            <w:r>
              <w:rPr>
                <w:rFonts w:hint="default" w:ascii="Times New Roman" w:hAnsi="Times New Roman" w:cs="Times New Roman"/>
                <w:sz w:val="20"/>
                <w:szCs w:val="20"/>
                <w:highlight w:val="yellow"/>
                <w:lang w:eastAsia="zh-CN"/>
              </w:rPr>
              <w:t>Consider L3 beam-level (Point E) measurement prediction depending upon the progress in RAN2.</w:t>
            </w:r>
          </w:p>
          <w:p w14:paraId="5AC95259">
            <w:pPr>
              <w:spacing w:before="100" w:beforeAutospacing="1"/>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yellow"/>
                <w:lang w:eastAsia="zh-CN"/>
              </w:rPr>
              <w:t>Note: RAN4 didn’t study impact of L3 beam level measurements. However, it doesn’t preclude the discussion on L3 beam level measurements in the work item phase</w:t>
            </w:r>
            <w:r>
              <w:rPr>
                <w:rFonts w:hint="default" w:ascii="Times New Roman" w:hAnsi="Times New Roman" w:cs="Times New Roman"/>
                <w:sz w:val="20"/>
                <w:szCs w:val="20"/>
                <w:highlight w:val="none"/>
                <w:lang w:eastAsia="zh-CN"/>
              </w:rPr>
              <w:t xml:space="preserve">. </w:t>
            </w:r>
          </w:p>
          <w:p w14:paraId="1CAD422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highlight w:val="none"/>
                <w:vertAlign w:val="baseline"/>
                <w:lang w:val="en-US" w:eastAsia="zh-CN"/>
              </w:rPr>
            </w:pPr>
          </w:p>
        </w:tc>
      </w:tr>
    </w:tbl>
    <w:p w14:paraId="2718F97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6FE89F2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However, according to the revised WID [2], it is determined that L3 beam level prediction is not supported for UE sided model. RAN4 no need to discuss this issue and focus on cell level prediction.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8F1A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3BE439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Revised WID (RP-252899)</w:t>
            </w:r>
          </w:p>
          <w:p w14:paraId="3DF0D4F8">
            <w:pPr>
              <w:spacing w:after="120"/>
              <w:ind w:right="-99"/>
              <w:jc w:val="both"/>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 xml:space="preserve">The objectives are as the following: </w:t>
            </w:r>
          </w:p>
          <w:p w14:paraId="5B26F413">
            <w:pPr>
              <w:numPr>
                <w:ilvl w:val="0"/>
                <w:numId w:val="4"/>
              </w:numPr>
              <w:overflowPunct/>
              <w:autoSpaceDE/>
              <w:autoSpaceDN/>
              <w:adjustRightInd/>
              <w:spacing w:after="120"/>
              <w:textAlignment w:val="auto"/>
              <w:rPr>
                <w:rFonts w:hint="default" w:ascii="Times New Roman" w:hAnsi="Times New Roman" w:eastAsia="MS Mincho" w:cs="Times New Roman"/>
                <w:bCs/>
                <w:sz w:val="20"/>
                <w:szCs w:val="20"/>
              </w:rPr>
            </w:pPr>
            <w:r>
              <w:rPr>
                <w:rFonts w:hint="default" w:ascii="Times New Roman" w:hAnsi="Times New Roman" w:eastAsia="MS Mincho" w:cs="Times New Roman"/>
                <w:bCs/>
                <w:sz w:val="20"/>
                <w:szCs w:val="20"/>
              </w:rPr>
              <w:t>Specify support for RRM measurement prediction</w:t>
            </w:r>
            <w:r>
              <w:rPr>
                <w:rFonts w:hint="default" w:ascii="Times New Roman" w:hAnsi="Times New Roman" w:cs="Times New Roman"/>
                <w:bCs/>
                <w:sz w:val="20"/>
                <w:szCs w:val="20"/>
                <w:lang w:eastAsia="zh-CN"/>
              </w:rPr>
              <w:t xml:space="preserve"> and measurement event prediction</w:t>
            </w:r>
            <w:r>
              <w:rPr>
                <w:rFonts w:hint="default" w:ascii="Times New Roman" w:hAnsi="Times New Roman" w:eastAsia="MS Mincho" w:cs="Times New Roman"/>
                <w:bCs/>
                <w:sz w:val="20"/>
                <w:szCs w:val="20"/>
              </w:rPr>
              <w:t xml:space="preserve"> for UE sided models [RAN2]:</w:t>
            </w:r>
          </w:p>
          <w:p w14:paraId="5E88A137">
            <w:pPr>
              <w:numPr>
                <w:ilvl w:val="0"/>
                <w:numId w:val="5"/>
              </w:numPr>
              <w:overflowPunct/>
              <w:autoSpaceDE/>
              <w:autoSpaceDN/>
              <w:adjustRightInd/>
              <w:spacing w:after="120"/>
              <w:ind w:left="1797" w:hanging="357"/>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Temporal domain prediction</w:t>
            </w:r>
            <w:r>
              <w:rPr>
                <w:rFonts w:hint="default" w:ascii="Times New Roman" w:hAnsi="Times New Roman" w:cs="Times New Roman"/>
                <w:bCs/>
                <w:sz w:val="20"/>
                <w:szCs w:val="20"/>
                <w:lang w:eastAsia="zh-CN"/>
              </w:rPr>
              <w:t xml:space="preserve"> case A and case B, </w:t>
            </w:r>
            <w:r>
              <w:rPr>
                <w:rFonts w:hint="default" w:ascii="Times New Roman" w:hAnsi="Times New Roman" w:cs="Times New Roman"/>
                <w:bCs/>
                <w:sz w:val="20"/>
                <w:szCs w:val="20"/>
              </w:rPr>
              <w:t>and Frequency domain prediction</w:t>
            </w:r>
            <w:r>
              <w:rPr>
                <w:rFonts w:hint="default" w:ascii="Times New Roman" w:hAnsi="Times New Roman" w:cs="Times New Roman"/>
                <w:bCs/>
                <w:sz w:val="20"/>
                <w:szCs w:val="20"/>
                <w:lang w:eastAsia="zh-CN"/>
              </w:rPr>
              <w:t xml:space="preserve"> for co-located cases are supported</w:t>
            </w:r>
            <w:r>
              <w:rPr>
                <w:rFonts w:hint="default" w:ascii="Times New Roman" w:hAnsi="Times New Roman" w:cs="Times New Roman"/>
                <w:bCs/>
                <w:sz w:val="20"/>
                <w:szCs w:val="20"/>
              </w:rPr>
              <w:t>.</w:t>
            </w:r>
            <w:r>
              <w:rPr>
                <w:rFonts w:hint="default" w:ascii="Times New Roman" w:hAnsi="Times New Roman" w:cs="Times New Roman"/>
                <w:bCs/>
                <w:sz w:val="20"/>
                <w:szCs w:val="20"/>
                <w:lang w:eastAsia="zh-CN"/>
              </w:rPr>
              <w:t xml:space="preserve"> </w:t>
            </w:r>
          </w:p>
          <w:p w14:paraId="70211589">
            <w:pPr>
              <w:numPr>
                <w:ilvl w:val="0"/>
                <w:numId w:val="5"/>
              </w:numPr>
              <w:overflowPunct/>
              <w:autoSpaceDE/>
              <w:autoSpaceDN/>
              <w:adjustRightInd/>
              <w:spacing w:after="120"/>
              <w:ind w:left="1797" w:hanging="357"/>
              <w:textAlignment w:val="auto"/>
              <w:rPr>
                <w:rFonts w:hint="default" w:ascii="Times New Roman" w:hAnsi="Times New Roman" w:cs="Times New Roman"/>
                <w:bCs/>
                <w:sz w:val="20"/>
                <w:szCs w:val="20"/>
              </w:rPr>
            </w:pPr>
            <w:r>
              <w:rPr>
                <w:rFonts w:hint="default" w:ascii="Times New Roman" w:hAnsi="Times New Roman" w:cs="Times New Roman"/>
                <w:bCs/>
                <w:sz w:val="20"/>
                <w:szCs w:val="20"/>
                <w:lang w:eastAsia="zh-CN"/>
              </w:rPr>
              <w:t xml:space="preserve">L3 </w:t>
            </w:r>
            <w:r>
              <w:rPr>
                <w:rFonts w:hint="default" w:ascii="Times New Roman" w:hAnsi="Times New Roman" w:cs="Times New Roman"/>
                <w:bCs/>
                <w:sz w:val="20"/>
                <w:szCs w:val="20"/>
              </w:rPr>
              <w:t xml:space="preserve">Cell level </w:t>
            </w:r>
            <w:r>
              <w:rPr>
                <w:rFonts w:hint="default" w:ascii="Times New Roman" w:hAnsi="Times New Roman" w:cs="Times New Roman"/>
                <w:bCs/>
                <w:sz w:val="20"/>
                <w:szCs w:val="20"/>
                <w:lang w:eastAsia="zh-CN"/>
              </w:rPr>
              <w:t xml:space="preserve">predication is supported </w:t>
            </w:r>
          </w:p>
          <w:p w14:paraId="035E7385">
            <w:pPr>
              <w:spacing w:after="120"/>
              <w:ind w:left="1440"/>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Note 1: For UE sided model, spatial domain prediction is not supported.</w:t>
            </w:r>
          </w:p>
          <w:p w14:paraId="0C0EBCD2">
            <w:pPr>
              <w:spacing w:after="120"/>
              <w:ind w:left="1440"/>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bCs/>
                <w:sz w:val="20"/>
                <w:szCs w:val="20"/>
                <w:highlight w:val="cyan"/>
                <w:lang w:eastAsia="zh-CN"/>
              </w:rPr>
              <w:t>Note 2: For UE sided model, L3 beam level prediction is not supported.</w:t>
            </w:r>
          </w:p>
        </w:tc>
      </w:tr>
    </w:tbl>
    <w:p w14:paraId="49996F6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p>
    <w:p w14:paraId="0D98887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2: it is proposed that RAN4 work focus on L3 Cell level predication. No need to consider L3 beam level prediction for UE sided model. </w:t>
      </w:r>
    </w:p>
    <w:p w14:paraId="0465AA55">
      <w:pPr>
        <w:spacing w:after="180" w:line="240" w:lineRule="exact"/>
        <w:rPr>
          <w:rFonts w:hint="default" w:ascii="Times New Roman" w:hAnsi="Times New Roman" w:eastAsia="等线"/>
          <w:bCs/>
          <w:iCs/>
          <w:sz w:val="20"/>
          <w:szCs w:val="20"/>
          <w:lang w:val="en-US" w:eastAsia="zh-CN"/>
        </w:rPr>
      </w:pPr>
    </w:p>
    <w:bookmarkEnd w:id="6"/>
    <w:bookmarkEnd w:id="7"/>
    <w:p w14:paraId="2F63ED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212FE524">
      <w:pPr>
        <w:tabs>
          <w:tab w:val="left" w:pos="1134"/>
        </w:tabs>
        <w:spacing w:after="180" w:line="240" w:lineRule="exact"/>
        <w:rPr>
          <w:rFonts w:hint="eastAsia" w:ascii="Times New Roman" w:hAnsi="Times New Roman" w:eastAsia="宋体"/>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general aspects</w:t>
      </w:r>
      <w:r>
        <w:rPr>
          <w:rFonts w:hint="eastAsia" w:ascii="Times New Roman" w:hAnsi="Times New Roman" w:eastAsia="宋体"/>
          <w:sz w:val="20"/>
          <w:szCs w:val="20"/>
        </w:rPr>
        <w:t>. The proposals are:</w:t>
      </w:r>
    </w:p>
    <w:p w14:paraId="533D853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for scenario, it is proposed that RAN4 focus on temporal domain prediction case A, temporal domain prediction case B, and frequency domain prediction for co-located cases.</w:t>
      </w:r>
    </w:p>
    <w:p w14:paraId="20BEFFA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2: it is proposed that RAN4 work focus on L3 Cell level predication. No need to consider L3 beam level prediction for UE sided model. </w:t>
      </w:r>
    </w:p>
    <w:p w14:paraId="28050F84">
      <w:pPr>
        <w:tabs>
          <w:tab w:val="left" w:pos="1134"/>
        </w:tabs>
        <w:spacing w:after="180" w:line="240" w:lineRule="exact"/>
        <w:rPr>
          <w:rFonts w:hint="eastAsia" w:ascii="Times New Roman" w:hAnsi="Times New Roman" w:eastAsia="宋体"/>
          <w:sz w:val="20"/>
          <w:szCs w:val="20"/>
        </w:rPr>
      </w:pPr>
    </w:p>
    <w:p w14:paraId="5F08F1C5">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F82E1F8">
      <w:pPr>
        <w:pStyle w:val="14"/>
        <w:framePr w:wrap="auto" w:vAnchor="margin" w:hAnchor="text" w:yAlign="inline"/>
        <w:numPr>
          <w:ilvl w:val="0"/>
          <w:numId w:val="7"/>
        </w:numPr>
        <w:ind w:right="400"/>
        <w:jc w:val="both"/>
        <w:rPr>
          <w:rFonts w:ascii="Times" w:hAnsi="Times" w:eastAsia="宋体"/>
          <w:b w:val="0"/>
          <w:sz w:val="20"/>
          <w:lang w:eastAsia="zh-CN"/>
        </w:rPr>
      </w:pPr>
      <w:r>
        <w:rPr>
          <w:rFonts w:hint="eastAsia" w:ascii="Times" w:hAnsi="Times" w:eastAsia="宋体"/>
          <w:b w:val="0"/>
          <w:sz w:val="20"/>
          <w:lang w:eastAsia="zh-CN"/>
        </w:rPr>
        <w:t>RP-251864</w:t>
      </w:r>
      <w:r>
        <w:rPr>
          <w:rFonts w:hint="eastAsia" w:ascii="Times" w:hAnsi="Times" w:eastAsia="宋体"/>
          <w:b w:val="0"/>
          <w:sz w:val="20"/>
          <w:lang w:val="en-US" w:eastAsia="zh-CN"/>
        </w:rPr>
        <w:t>, New WI: Artificial Intelligence (AI)/Machine Learning (ML) for mobility in NR</w:t>
      </w:r>
    </w:p>
    <w:p w14:paraId="52112FFC">
      <w:pPr>
        <w:pStyle w:val="14"/>
        <w:framePr w:wrap="auto" w:vAnchor="margin" w:hAnchor="text" w:yAlign="inline"/>
        <w:numPr>
          <w:ilvl w:val="0"/>
          <w:numId w:val="7"/>
        </w:numPr>
        <w:ind w:right="400"/>
        <w:jc w:val="both"/>
        <w:rPr>
          <w:rFonts w:ascii="Times" w:hAnsi="Times" w:eastAsia="宋体"/>
          <w:b w:val="0"/>
          <w:sz w:val="20"/>
          <w:lang w:eastAsia="zh-CN"/>
        </w:rPr>
      </w:pPr>
      <w:r>
        <w:rPr>
          <w:rFonts w:hint="eastAsia" w:ascii="Times" w:hAnsi="Times" w:eastAsia="宋体"/>
          <w:b w:val="0"/>
          <w:sz w:val="20"/>
          <w:lang w:eastAsia="zh-CN"/>
        </w:rPr>
        <w:t>RP-252899</w:t>
      </w:r>
      <w:r>
        <w:rPr>
          <w:rFonts w:hint="eastAsia" w:ascii="Times" w:hAnsi="Times" w:eastAsia="宋体"/>
          <w:b w:val="0"/>
          <w:sz w:val="20"/>
          <w:lang w:val="en-US" w:eastAsia="zh-CN"/>
        </w:rPr>
        <w:t>, Revised WI: Artificial Intelligence (AI)/Machine Learning (ML) for mobility in NR</w:t>
      </w:r>
    </w:p>
    <w:p w14:paraId="3EAD4D4A">
      <w:pPr>
        <w:pStyle w:val="14"/>
        <w:framePr w:wrap="auto" w:vAnchor="margin" w:hAnchor="text" w:yAlign="inline"/>
        <w:numPr>
          <w:ilvl w:val="0"/>
          <w:numId w:val="7"/>
        </w:numPr>
        <w:ind w:right="400"/>
        <w:jc w:val="both"/>
        <w:rPr>
          <w:rFonts w:ascii="Times" w:hAnsi="Times" w:eastAsia="宋体"/>
          <w:b w:val="0"/>
          <w:sz w:val="20"/>
          <w:lang w:eastAsia="zh-CN"/>
        </w:rPr>
      </w:pPr>
      <w:r>
        <w:rPr>
          <w:rFonts w:hint="eastAsia" w:ascii="Times" w:hAnsi="Times" w:eastAsia="宋体"/>
          <w:b w:val="0"/>
          <w:sz w:val="20"/>
          <w:lang w:eastAsia="zh-CN"/>
        </w:rPr>
        <w:t>TR 38.744</w:t>
      </w:r>
      <w:r>
        <w:rPr>
          <w:rFonts w:hint="eastAsia" w:ascii="Times" w:hAnsi="Times" w:eastAsia="宋体"/>
          <w:b w:val="0"/>
          <w:sz w:val="20"/>
          <w:lang w:val="en-US" w:eastAsia="zh-CN"/>
        </w:rPr>
        <w:t>, Study on Artificial Intelligence (AI)/Machine Learning (ML) for Mobility in NR</w:t>
      </w:r>
    </w:p>
    <w:p w14:paraId="49198761">
      <w:pPr>
        <w:pStyle w:val="14"/>
        <w:framePr w:wrap="auto" w:vAnchor="margin" w:hAnchor="text" w:yAlign="inline"/>
        <w:ind w:right="400"/>
        <w:jc w:val="both"/>
        <w:rPr>
          <w:rFonts w:ascii="Times" w:hAnsi="Times" w:eastAsia="宋体"/>
          <w:b w:val="0"/>
          <w:sz w:val="20"/>
          <w:lang w:eastAsia="zh-CN"/>
        </w:rPr>
      </w:pPr>
    </w:p>
    <w:p w14:paraId="49C24BC8">
      <w:pPr>
        <w:pStyle w:val="14"/>
        <w:framePr w:wrap="auto" w:vAnchor="margin" w:hAnchor="text" w:yAlign="inline"/>
        <w:ind w:right="400"/>
        <w:jc w:val="both"/>
        <w:rPr>
          <w:rFonts w:ascii="Times" w:hAnsi="Times" w:eastAsia="宋体"/>
          <w:b w:val="0"/>
          <w:sz w:val="20"/>
          <w:lang w:eastAsia="zh-CN"/>
        </w:rPr>
      </w:pPr>
    </w:p>
    <w:p w14:paraId="37201D62">
      <w:pPr>
        <w:pStyle w:val="14"/>
        <w:framePr w:wrap="auto" w:vAnchor="margin" w:hAnchor="text" w:yAlign="inline"/>
        <w:ind w:right="400"/>
        <w:jc w:val="both"/>
        <w:rPr>
          <w:rFonts w:hint="eastAsia" w:ascii="Times" w:hAnsi="Times" w:eastAsia="宋体"/>
          <w:b w:val="0"/>
          <w:sz w:val="20"/>
          <w:lang w:val="en-US" w:eastAsia="zh-CN"/>
        </w:rPr>
      </w:pPr>
    </w:p>
    <w:p w14:paraId="6079E5E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color w:val="000000" w:themeColor="text1"/>
        <w14:textFill>
          <w14:solidFill>
            <w14:schemeClr w14:val="tx1"/>
          </w14:solidFill>
        </w14:textFill>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70146DC0"/>
    <w:multiLevelType w:val="multilevel"/>
    <w:tmpl w:val="70146DC0"/>
    <w:lvl w:ilvl="0" w:tentative="0">
      <w:start w:val="1"/>
      <w:numFmt w:val="bullet"/>
      <w:pStyle w:val="17"/>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num w:numId="1">
    <w:abstractNumId w:val="5"/>
  </w:num>
  <w:num w:numId="2">
    <w:abstractNumId w:val="4"/>
  </w:num>
  <w:num w:numId="3">
    <w:abstractNumId w:val="2"/>
  </w:num>
  <w:num w:numId="4">
    <w:abstractNumId w:val="1"/>
  </w:num>
  <w:num w:numId="5">
    <w:abstractNumId w:val="6"/>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570FF"/>
    <w:rsid w:val="001E31E1"/>
    <w:rsid w:val="00510477"/>
    <w:rsid w:val="030F42DA"/>
    <w:rsid w:val="039B37C7"/>
    <w:rsid w:val="03B64756"/>
    <w:rsid w:val="05581271"/>
    <w:rsid w:val="05611098"/>
    <w:rsid w:val="05697CEB"/>
    <w:rsid w:val="0659725C"/>
    <w:rsid w:val="08320503"/>
    <w:rsid w:val="095F3199"/>
    <w:rsid w:val="09956AAF"/>
    <w:rsid w:val="0A632019"/>
    <w:rsid w:val="0AB2039C"/>
    <w:rsid w:val="0B8B7488"/>
    <w:rsid w:val="0DF05B97"/>
    <w:rsid w:val="0E3634E0"/>
    <w:rsid w:val="0F6C5EA4"/>
    <w:rsid w:val="11144517"/>
    <w:rsid w:val="12E4180D"/>
    <w:rsid w:val="135132D0"/>
    <w:rsid w:val="13BE2E36"/>
    <w:rsid w:val="13D33102"/>
    <w:rsid w:val="13E54515"/>
    <w:rsid w:val="154B4C98"/>
    <w:rsid w:val="17C90DC6"/>
    <w:rsid w:val="18A26313"/>
    <w:rsid w:val="192432CE"/>
    <w:rsid w:val="197233CD"/>
    <w:rsid w:val="1A015FF9"/>
    <w:rsid w:val="1A785BF5"/>
    <w:rsid w:val="1D2B4603"/>
    <w:rsid w:val="1E262080"/>
    <w:rsid w:val="1EA13FCF"/>
    <w:rsid w:val="1F4E59E8"/>
    <w:rsid w:val="208B1571"/>
    <w:rsid w:val="20A67B9D"/>
    <w:rsid w:val="219168A1"/>
    <w:rsid w:val="21A73AF8"/>
    <w:rsid w:val="21B75A90"/>
    <w:rsid w:val="21F229A5"/>
    <w:rsid w:val="22F84732"/>
    <w:rsid w:val="29521D5A"/>
    <w:rsid w:val="296A6325"/>
    <w:rsid w:val="2A8275BB"/>
    <w:rsid w:val="2B692490"/>
    <w:rsid w:val="2BAD0C2F"/>
    <w:rsid w:val="2C811A52"/>
    <w:rsid w:val="2D092D6F"/>
    <w:rsid w:val="2DCC054E"/>
    <w:rsid w:val="2EFF4953"/>
    <w:rsid w:val="2FED1FC2"/>
    <w:rsid w:val="305C73A6"/>
    <w:rsid w:val="30DE49BA"/>
    <w:rsid w:val="319B3E73"/>
    <w:rsid w:val="31B53264"/>
    <w:rsid w:val="332C3305"/>
    <w:rsid w:val="3331778D"/>
    <w:rsid w:val="351D1843"/>
    <w:rsid w:val="36CD03FF"/>
    <w:rsid w:val="370D2F60"/>
    <w:rsid w:val="37E312B6"/>
    <w:rsid w:val="38022573"/>
    <w:rsid w:val="3850290E"/>
    <w:rsid w:val="39A706A6"/>
    <w:rsid w:val="3AF811CC"/>
    <w:rsid w:val="3FF257A0"/>
    <w:rsid w:val="40BA0E25"/>
    <w:rsid w:val="41597CC1"/>
    <w:rsid w:val="447F6515"/>
    <w:rsid w:val="44ED5522"/>
    <w:rsid w:val="45251780"/>
    <w:rsid w:val="45822D02"/>
    <w:rsid w:val="47D07441"/>
    <w:rsid w:val="486C7D0F"/>
    <w:rsid w:val="48765EF0"/>
    <w:rsid w:val="48BC1FC7"/>
    <w:rsid w:val="48BD345D"/>
    <w:rsid w:val="48C92824"/>
    <w:rsid w:val="49E62D0A"/>
    <w:rsid w:val="4A924F66"/>
    <w:rsid w:val="4AAA7A11"/>
    <w:rsid w:val="4ADD1BB7"/>
    <w:rsid w:val="4CA21BEA"/>
    <w:rsid w:val="4CB30463"/>
    <w:rsid w:val="4D0F52FA"/>
    <w:rsid w:val="4EED0FC5"/>
    <w:rsid w:val="4F01352B"/>
    <w:rsid w:val="50AC3D18"/>
    <w:rsid w:val="513A24D1"/>
    <w:rsid w:val="517D38BF"/>
    <w:rsid w:val="521A547C"/>
    <w:rsid w:val="539B5A3F"/>
    <w:rsid w:val="56582839"/>
    <w:rsid w:val="5798278D"/>
    <w:rsid w:val="59324E3B"/>
    <w:rsid w:val="595545B4"/>
    <w:rsid w:val="59A65848"/>
    <w:rsid w:val="5AAC5686"/>
    <w:rsid w:val="5C491F27"/>
    <w:rsid w:val="5CF63611"/>
    <w:rsid w:val="5E176D14"/>
    <w:rsid w:val="606210AF"/>
    <w:rsid w:val="617674D6"/>
    <w:rsid w:val="61D06D08"/>
    <w:rsid w:val="61DF3A9F"/>
    <w:rsid w:val="62E74204"/>
    <w:rsid w:val="652470FF"/>
    <w:rsid w:val="676E7F3D"/>
    <w:rsid w:val="67A4673A"/>
    <w:rsid w:val="68706D05"/>
    <w:rsid w:val="6AFE6DF4"/>
    <w:rsid w:val="6B2F50E5"/>
    <w:rsid w:val="6C642F64"/>
    <w:rsid w:val="6D613D4B"/>
    <w:rsid w:val="6D7D0F66"/>
    <w:rsid w:val="6DB122F8"/>
    <w:rsid w:val="6F9F112C"/>
    <w:rsid w:val="71997D14"/>
    <w:rsid w:val="71A82806"/>
    <w:rsid w:val="734C63A4"/>
    <w:rsid w:val="738B299C"/>
    <w:rsid w:val="738F6E24"/>
    <w:rsid w:val="73C17630"/>
    <w:rsid w:val="73F67ACD"/>
    <w:rsid w:val="75A5650E"/>
    <w:rsid w:val="770B4D24"/>
    <w:rsid w:val="77B91A3C"/>
    <w:rsid w:val="77F160D3"/>
    <w:rsid w:val="79670D3F"/>
    <w:rsid w:val="79DA1477"/>
    <w:rsid w:val="7C187D58"/>
    <w:rsid w:val="7CF03F88"/>
    <w:rsid w:val="7D796C4C"/>
    <w:rsid w:val="7DB24046"/>
    <w:rsid w:val="7DFD5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lang w:val="en-US"/>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style>
  <w:style w:type="paragraph" w:styleId="7">
    <w:name w:val="Body Text"/>
    <w:basedOn w:val="1"/>
    <w:qFormat/>
    <w:uiPriority w:val="0"/>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9">
    <w:name w:val="List"/>
    <w:basedOn w:val="1"/>
    <w:qFormat/>
    <w:uiPriority w:val="0"/>
    <w:pPr>
      <w:ind w:left="568" w:hanging="284"/>
    </w:p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34"/>
    <w:pPr>
      <w:widowControl/>
      <w:ind w:firstLine="420" w:firstLineChars="200"/>
      <w:jc w:val="left"/>
    </w:pPr>
    <w:rPr>
      <w:rFonts w:ascii="宋体" w:hAnsi="宋体"/>
      <w:kern w:val="0"/>
    </w:rPr>
  </w:style>
  <w:style w:type="paragraph" w:customStyle="1" w:styleId="1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5">
    <w:name w:val="3GPP Normal Text"/>
    <w:basedOn w:val="7"/>
    <w:qFormat/>
    <w:uiPriority w:val="0"/>
    <w:pPr>
      <w:spacing w:after="120"/>
      <w:ind w:left="1440" w:hanging="1440"/>
      <w:jc w:val="both"/>
    </w:pPr>
    <w:rPr>
      <w:rFonts w:eastAsia="MS Mincho"/>
      <w:sz w:val="22"/>
      <w:szCs w:val="24"/>
      <w:lang w:val="zh-CN" w:eastAsia="zh-CN"/>
    </w:rPr>
  </w:style>
  <w:style w:type="paragraph" w:customStyle="1" w:styleId="16">
    <w:name w:val="Doc-text2"/>
    <w:basedOn w:val="1"/>
    <w:qFormat/>
    <w:uiPriority w:val="0"/>
    <w:pPr>
      <w:tabs>
        <w:tab w:val="left" w:pos="1622"/>
      </w:tabs>
      <w:spacing w:before="0"/>
      <w:ind w:left="1622" w:hanging="363"/>
    </w:pPr>
  </w:style>
  <w:style w:type="paragraph" w:customStyle="1" w:styleId="17">
    <w:name w:val="Agreement"/>
    <w:basedOn w:val="1"/>
    <w:next w:val="16"/>
    <w:qFormat/>
    <w:uiPriority w:val="99"/>
    <w:pPr>
      <w:numPr>
        <w:ilvl w:val="0"/>
        <w:numId w:val="2"/>
      </w:numPr>
      <w:tabs>
        <w:tab w:val="left" w:pos="1619"/>
      </w:tabs>
      <w:spacing w:before="60"/>
      <w:ind w:left="1616" w:hanging="357"/>
    </w:pPr>
    <w:rPr>
      <w:b/>
    </w:rPr>
  </w:style>
  <w:style w:type="paragraph" w:customStyle="1" w:styleId="18">
    <w:name w:val="B1"/>
    <w:basedOn w:val="9"/>
    <w:qFormat/>
    <w:uiPriority w:val="0"/>
    <w:rPr>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CMCC-Jingjing</cp:lastModifiedBy>
  <dcterms:modified xsi:type="dcterms:W3CDTF">2025-10-02T02:14:24Z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99CA3F75D69E410D84A4BB8A3F58CF13</vt:lpwstr>
  </property>
</Properties>
</file>